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41" w:rsidRPr="002C2841" w:rsidRDefault="002C2841" w:rsidP="00AD6924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Нарушения бюджетного законодательства и ответственность</w:t>
      </w:r>
      <w:r w:rsidR="00AD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841">
        <w:rPr>
          <w:rFonts w:ascii="Times New Roman" w:hAnsi="Times New Roman" w:cs="Times New Roman"/>
          <w:b/>
          <w:sz w:val="28"/>
          <w:szCs w:val="28"/>
        </w:rPr>
        <w:t>за них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Нарушение бюджетного законодательства – это дейст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вие или бездействие учреждения, </w:t>
      </w:r>
      <w:r w:rsidRPr="00C54D75">
        <w:rPr>
          <w:rFonts w:ascii="Times New Roman" w:hAnsi="Times New Roman" w:cs="Times New Roman"/>
          <w:bCs/>
          <w:sz w:val="28"/>
          <w:szCs w:val="28"/>
        </w:rPr>
        <w:t>которое противоречит положениям Бюджетного кодекса РФ, федеральных законов о бюджете,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прочих федеральных законов, которыми регулируются бюджетные правоотношения.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В соответствии со ст. 306.1 БК РФ, бюджетное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деяние, которое совершил </w:t>
      </w:r>
      <w:r w:rsidRPr="00C54D75">
        <w:rPr>
          <w:rFonts w:ascii="Times New Roman" w:hAnsi="Times New Roman" w:cs="Times New Roman"/>
          <w:bCs/>
          <w:sz w:val="28"/>
          <w:szCs w:val="28"/>
        </w:rPr>
        <w:t>высший исполнительный орган государственной власти субъекта РФ, финансовый орган,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главный администратор бюджетных средств, государственный заказчик. К таковым деяниям относятся: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положений бюджетного законодательс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РФ и прочих правовых актов, </w:t>
      </w:r>
      <w:r w:rsidRPr="00C54D75">
        <w:rPr>
          <w:rFonts w:ascii="Times New Roman" w:hAnsi="Times New Roman" w:cs="Times New Roman"/>
          <w:bCs/>
          <w:sz w:val="28"/>
          <w:szCs w:val="28"/>
        </w:rPr>
        <w:t>которыми регулируются бюджетные правоотношения;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положений основных правовых актов,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которыми обусловлены публичные </w:t>
      </w:r>
      <w:r w:rsidRPr="00C54D75">
        <w:rPr>
          <w:rFonts w:ascii="Times New Roman" w:hAnsi="Times New Roman" w:cs="Times New Roman"/>
          <w:bCs/>
          <w:sz w:val="28"/>
          <w:szCs w:val="28"/>
        </w:rPr>
        <w:t>нормативные обязательства и обязательства по прочим видам выплат физическим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из бюджета и бюджетной системы РФ, которое влечет за собой причинение ущерба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публично-правовым образованиям;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условий соглашений, касающихся предоставления средств из бюджета;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установленных законодательством РФ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ложений о контрактной системе в </w:t>
      </w:r>
      <w:r w:rsidRPr="00C54D75">
        <w:rPr>
          <w:rFonts w:ascii="Times New Roman" w:hAnsi="Times New Roman" w:cs="Times New Roman"/>
          <w:bCs/>
          <w:sz w:val="28"/>
          <w:szCs w:val="28"/>
        </w:rPr>
        <w:t>сфере закупок товаров, работ и услуг по обеспечению государственных нужд;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к планированию, обоснованию закупок товаров, работ и услуг по обеспечению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государственных нужд, а также порядка и условий изменения и расторжения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государственных контрактов;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условий государственного контракта;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нарушение условий договоров о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средств из бюджета, повлекшее </w:t>
      </w:r>
      <w:r w:rsidRPr="00C54D75">
        <w:rPr>
          <w:rFonts w:ascii="Times New Roman" w:hAnsi="Times New Roman" w:cs="Times New Roman"/>
          <w:bCs/>
          <w:sz w:val="28"/>
          <w:szCs w:val="28"/>
        </w:rPr>
        <w:t>причинение ущерба публично-правовому образованию;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4D75">
        <w:rPr>
          <w:rFonts w:ascii="Times New Roman" w:hAnsi="Times New Roman" w:cs="Times New Roman"/>
          <w:bCs/>
          <w:sz w:val="28"/>
          <w:szCs w:val="28"/>
        </w:rPr>
        <w:t>несоблюдение целей, порядка и условий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кредитов, которые </w:t>
      </w:r>
      <w:r w:rsidRPr="00C54D75">
        <w:rPr>
          <w:rFonts w:ascii="Times New Roman" w:hAnsi="Times New Roman" w:cs="Times New Roman"/>
          <w:bCs/>
          <w:sz w:val="28"/>
          <w:szCs w:val="28"/>
        </w:rPr>
        <w:t>обеспечиваются государственными и муниципальными гарантиями.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D75">
        <w:rPr>
          <w:rFonts w:ascii="Times New Roman" w:hAnsi="Times New Roman" w:cs="Times New Roman"/>
          <w:b/>
          <w:bCs/>
          <w:sz w:val="28"/>
          <w:szCs w:val="28"/>
        </w:rPr>
        <w:t>Ответств</w:t>
      </w:r>
      <w:r w:rsidRPr="00C54D75">
        <w:rPr>
          <w:rFonts w:ascii="Times New Roman" w:hAnsi="Times New Roman" w:cs="Times New Roman"/>
          <w:b/>
          <w:bCs/>
          <w:sz w:val="28"/>
          <w:szCs w:val="28"/>
        </w:rPr>
        <w:t xml:space="preserve">енность за нарушение бюджетного </w:t>
      </w:r>
      <w:r w:rsidRPr="00C54D75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За нарушение положений бюджетного законодательства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становлены следующие типы </w:t>
      </w:r>
      <w:r w:rsidRPr="00C54D75">
        <w:rPr>
          <w:rFonts w:ascii="Times New Roman" w:hAnsi="Times New Roman" w:cs="Times New Roman"/>
          <w:bCs/>
          <w:sz w:val="28"/>
          <w:szCs w:val="28"/>
        </w:rPr>
        <w:t>ответственности: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административная (п. 3 ст. 306.1, п. 7 ст. 306.2 БК РФ);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4D75">
        <w:rPr>
          <w:rFonts w:ascii="Times New Roman" w:hAnsi="Times New Roman" w:cs="Times New Roman"/>
          <w:bCs/>
          <w:sz w:val="28"/>
          <w:szCs w:val="28"/>
        </w:rPr>
        <w:t>уголовная – при нецелевом использовании бюджетных средств (п. 3 ст. 306.1, п. 7 ст.</w:t>
      </w:r>
      <w:proofErr w:type="gramEnd"/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4D75">
        <w:rPr>
          <w:rFonts w:ascii="Times New Roman" w:hAnsi="Times New Roman" w:cs="Times New Roman"/>
          <w:bCs/>
          <w:sz w:val="28"/>
          <w:szCs w:val="28"/>
        </w:rPr>
        <w:t>306.2 БК РФ);</w:t>
      </w:r>
      <w:proofErr w:type="gramEnd"/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бюджетные меры принуждения (п. 1 ст. 306.2 БК РФ).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Применение административной ответственности к у</w:t>
      </w:r>
      <w:r>
        <w:rPr>
          <w:rFonts w:ascii="Times New Roman" w:hAnsi="Times New Roman" w:cs="Times New Roman"/>
          <w:bCs/>
          <w:sz w:val="28"/>
          <w:szCs w:val="28"/>
        </w:rPr>
        <w:t xml:space="preserve">чреждению или должностным лицам </w:t>
      </w:r>
      <w:r w:rsidRPr="00C54D75">
        <w:rPr>
          <w:rFonts w:ascii="Times New Roman" w:hAnsi="Times New Roman" w:cs="Times New Roman"/>
          <w:bCs/>
          <w:sz w:val="28"/>
          <w:szCs w:val="28"/>
        </w:rPr>
        <w:t>зависит от типа совершенного нарушения или вида учреждения.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lastRenderedPageBreak/>
        <w:t>Срок давности привлечения к административной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тветственности зависит от того, </w:t>
      </w:r>
      <w:r w:rsidRPr="00C54D75">
        <w:rPr>
          <w:rFonts w:ascii="Times New Roman" w:hAnsi="Times New Roman" w:cs="Times New Roman"/>
          <w:bCs/>
          <w:sz w:val="28"/>
          <w:szCs w:val="28"/>
        </w:rPr>
        <w:t>привлекается лицо юридическое или должностное: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1. Для юридического лица такой срок составл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яет 2 года с момента совершения </w:t>
      </w:r>
      <w:r w:rsidRPr="00C54D75">
        <w:rPr>
          <w:rFonts w:ascii="Times New Roman" w:hAnsi="Times New Roman" w:cs="Times New Roman"/>
          <w:bCs/>
          <w:sz w:val="28"/>
          <w:szCs w:val="28"/>
        </w:rPr>
        <w:t>административного правонарушения (ч. 1 ст. 4.5 КоАП РФ).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2. Для должностного лица срок зависит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того, предусмотрено ли статьей </w:t>
      </w:r>
      <w:r w:rsidRPr="00C54D75">
        <w:rPr>
          <w:rFonts w:ascii="Times New Roman" w:hAnsi="Times New Roman" w:cs="Times New Roman"/>
          <w:bCs/>
          <w:sz w:val="28"/>
          <w:szCs w:val="28"/>
        </w:rPr>
        <w:t>административное наказание в формате дисквалификации: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 xml:space="preserve">если да, то срок исковой давности – не </w:t>
      </w:r>
      <w:proofErr w:type="spellStart"/>
      <w:r w:rsidRPr="00C54D75">
        <w:rPr>
          <w:rFonts w:ascii="Times New Roman" w:hAnsi="Times New Roman" w:cs="Times New Roman"/>
          <w:bCs/>
          <w:sz w:val="28"/>
          <w:szCs w:val="28"/>
        </w:rPr>
        <w:t>пбо</w:t>
      </w:r>
      <w:r>
        <w:rPr>
          <w:rFonts w:ascii="Times New Roman" w:hAnsi="Times New Roman" w:cs="Times New Roman"/>
          <w:bCs/>
          <w:sz w:val="28"/>
          <w:szCs w:val="28"/>
        </w:rPr>
        <w:t>лее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 года с момента совершения </w:t>
      </w:r>
      <w:r w:rsidRPr="00C54D75">
        <w:rPr>
          <w:rFonts w:ascii="Times New Roman" w:hAnsi="Times New Roman" w:cs="Times New Roman"/>
          <w:bCs/>
          <w:sz w:val="28"/>
          <w:szCs w:val="28"/>
        </w:rPr>
        <w:t>административного правонарушения (ч. 3 ст. 4.5 КоАП РФ, Письмо Казначейства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России от 27.10. 2017 № 07-04-05/09-826);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если нет, то срок исковой давности – 2 года с момента соверше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C54D75">
        <w:rPr>
          <w:rFonts w:ascii="Times New Roman" w:hAnsi="Times New Roman" w:cs="Times New Roman"/>
          <w:bCs/>
          <w:sz w:val="28"/>
          <w:szCs w:val="28"/>
        </w:rPr>
        <w:t>административного правонарушения (ч. 1 ст. 4.5 КоАП РФ).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D75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Pr="00C54D75">
        <w:rPr>
          <w:rFonts w:ascii="Times New Roman" w:hAnsi="Times New Roman" w:cs="Times New Roman"/>
          <w:b/>
          <w:bCs/>
          <w:sz w:val="28"/>
          <w:szCs w:val="28"/>
        </w:rPr>
        <w:t xml:space="preserve"> за нецелевое или неэффективное </w:t>
      </w:r>
      <w:r w:rsidRPr="00C54D75">
        <w:rPr>
          <w:rFonts w:ascii="Times New Roman" w:hAnsi="Times New Roman" w:cs="Times New Roman"/>
          <w:b/>
          <w:bCs/>
          <w:sz w:val="28"/>
          <w:szCs w:val="28"/>
        </w:rPr>
        <w:t>расходование учреждением бюджетных средств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Статья 15.14 КоАП РФ предусматривает ответственн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ость за нецелевое использование </w:t>
      </w:r>
      <w:r w:rsidRPr="00C54D75">
        <w:rPr>
          <w:rFonts w:ascii="Times New Roman" w:hAnsi="Times New Roman" w:cs="Times New Roman"/>
          <w:bCs/>
          <w:sz w:val="28"/>
          <w:szCs w:val="28"/>
        </w:rPr>
        <w:t>бюджетных средств, что может повлечь наложение административного штрафа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должностное лицо в размере 20-50 тысяч рублей или дисквалификацию на срок 1-3 года.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юридических лиц штраф составляет 5-25 % от суммы средств, которые были получены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бюджета и использованы не по целевому назначению.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Статья 285.1 УК РФ предусматривает уголовную ответствен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ность за нарушение деятельности </w:t>
      </w:r>
      <w:r w:rsidRPr="00C54D75">
        <w:rPr>
          <w:rFonts w:ascii="Times New Roman" w:hAnsi="Times New Roman" w:cs="Times New Roman"/>
          <w:bCs/>
          <w:sz w:val="28"/>
          <w:szCs w:val="28"/>
        </w:rPr>
        <w:t>публичного аппарата власти и управления в области бюджетных отношений за нецелевую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трату бюджетных средств.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Предмет преступления – бюджетные средства (ассигнова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ния), то есть средства бюджетов </w:t>
      </w:r>
      <w:r w:rsidRPr="00C54D75">
        <w:rPr>
          <w:rFonts w:ascii="Times New Roman" w:hAnsi="Times New Roman" w:cs="Times New Roman"/>
          <w:bCs/>
          <w:sz w:val="28"/>
          <w:szCs w:val="28"/>
        </w:rPr>
        <w:t>разных уровней, кроме средств государственного внебюджетного фонда.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Объективную сторону рассматриваемого состава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реступления выражает действие – </w:t>
      </w:r>
      <w:r w:rsidRPr="00C54D75">
        <w:rPr>
          <w:rFonts w:ascii="Times New Roman" w:hAnsi="Times New Roman" w:cs="Times New Roman"/>
          <w:bCs/>
          <w:sz w:val="28"/>
          <w:szCs w:val="28"/>
        </w:rPr>
        <w:t>расходование (растрата) бюджетных средств на цели, не соответствующие условиям,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оговоренным для получения этих средств, совершенное в крупном размере. Названные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при этом определены утвержденным бюджетом, их подтверждают бюджетная роспись,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уведомление о бюджетных ассигнованиях, смета доходов и расходов или иные документы,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представляющие основание для получения бюджетных средств.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Для наступления уголовной ответственности необх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одимое условие – крупный размер </w:t>
      </w:r>
      <w:r w:rsidRPr="00C54D75">
        <w:rPr>
          <w:rFonts w:ascii="Times New Roman" w:hAnsi="Times New Roman" w:cs="Times New Roman"/>
          <w:bCs/>
          <w:sz w:val="28"/>
          <w:szCs w:val="28"/>
        </w:rPr>
        <w:t xml:space="preserve">нецелевого расходования бюджетных средств (более 1 </w:t>
      </w:r>
      <w:proofErr w:type="gramStart"/>
      <w:r w:rsidRPr="00C54D75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C54D75">
        <w:rPr>
          <w:rFonts w:ascii="Times New Roman" w:hAnsi="Times New Roman" w:cs="Times New Roman"/>
          <w:bCs/>
          <w:sz w:val="28"/>
          <w:szCs w:val="28"/>
        </w:rPr>
        <w:t xml:space="preserve"> 500 тыс. руб.).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Состав данного преступления – формальный. Преступлени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считают оконченным с момента, </w:t>
      </w:r>
      <w:r w:rsidRPr="00C54D75">
        <w:rPr>
          <w:rFonts w:ascii="Times New Roman" w:hAnsi="Times New Roman" w:cs="Times New Roman"/>
          <w:bCs/>
          <w:sz w:val="28"/>
          <w:szCs w:val="28"/>
        </w:rPr>
        <w:t>как бюджетные средства направили на цели, не предусмотренные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документами, то есть в момент списания денег с лицевого счета бюджетного учреждения.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lastRenderedPageBreak/>
        <w:t>Субъективную сторону преступления характеризует прямой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умысел. Субъектом преступления </w:t>
      </w:r>
      <w:r w:rsidRPr="00C54D75">
        <w:rPr>
          <w:rFonts w:ascii="Times New Roman" w:hAnsi="Times New Roman" w:cs="Times New Roman"/>
          <w:bCs/>
          <w:sz w:val="28"/>
          <w:szCs w:val="28"/>
        </w:rPr>
        <w:t>выступает специальный субъект, то есть должностное лицо-получатель бюджетных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которое обладает правом подписи соответствующей расходной документации.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4D75">
        <w:rPr>
          <w:rFonts w:ascii="Times New Roman" w:hAnsi="Times New Roman" w:cs="Times New Roman"/>
          <w:bCs/>
          <w:sz w:val="28"/>
          <w:szCs w:val="28"/>
        </w:rPr>
        <w:t>Деяния такого рода наказывают штрафом в размере 100</w:t>
      </w:r>
      <w:r>
        <w:rPr>
          <w:rFonts w:ascii="Times New Roman" w:hAnsi="Times New Roman" w:cs="Times New Roman"/>
          <w:bCs/>
          <w:sz w:val="28"/>
          <w:szCs w:val="28"/>
        </w:rPr>
        <w:t xml:space="preserve">-300 тысяч рублей или в размере </w:t>
      </w:r>
      <w:r w:rsidRPr="00C54D75">
        <w:rPr>
          <w:rFonts w:ascii="Times New Roman" w:hAnsi="Times New Roman" w:cs="Times New Roman"/>
          <w:bCs/>
          <w:sz w:val="28"/>
          <w:szCs w:val="28"/>
        </w:rPr>
        <w:t>заработной платы или иного дохода осужденного, за период 1-2 года, либо принудительными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работами до 2 лет с лишением права занимать определенную должность или заниматься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определенным видом деятельности до 3 лет или без такового, либо арестом до 6 месяцев, 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лишением свободы до 2 лет с лишением права</w:t>
      </w:r>
      <w:proofErr w:type="gramEnd"/>
      <w:r w:rsidRPr="00C54D75">
        <w:rPr>
          <w:rFonts w:ascii="Times New Roman" w:hAnsi="Times New Roman" w:cs="Times New Roman"/>
          <w:bCs/>
          <w:sz w:val="28"/>
          <w:szCs w:val="28"/>
        </w:rPr>
        <w:t xml:space="preserve"> занимать определенную должность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заниматься определенным видом деятельности до 3 лет или без такового.</w:t>
      </w:r>
    </w:p>
    <w:p w:rsidR="00C54D75" w:rsidRPr="00C54D75" w:rsidRDefault="00C54D75" w:rsidP="00C54D7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75">
        <w:rPr>
          <w:rFonts w:ascii="Times New Roman" w:hAnsi="Times New Roman" w:cs="Times New Roman"/>
          <w:bCs/>
          <w:sz w:val="28"/>
          <w:szCs w:val="28"/>
        </w:rPr>
        <w:t>Ответственность за неэффективность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бюджетных средств законом не </w:t>
      </w:r>
      <w:r w:rsidRPr="00C54D75">
        <w:rPr>
          <w:rFonts w:ascii="Times New Roman" w:hAnsi="Times New Roman" w:cs="Times New Roman"/>
          <w:bCs/>
          <w:sz w:val="28"/>
          <w:szCs w:val="28"/>
        </w:rPr>
        <w:t>устанавливается. Средства, признанные проверяющими в качестве неэффективно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использованных, могут потребовать возместить в бюджет на основании предписаний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контролирующих органов. Также проверяющие имеют право обязывать учреждения устранять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нарушения и предпринимать меры, не допускающие неэффективности расходования денежных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75">
        <w:rPr>
          <w:rFonts w:ascii="Times New Roman" w:hAnsi="Times New Roman" w:cs="Times New Roman"/>
          <w:bCs/>
          <w:sz w:val="28"/>
          <w:szCs w:val="28"/>
        </w:rPr>
        <w:t>средств (п. 3 ст. 270.2 БК РФ).</w:t>
      </w:r>
    </w:p>
    <w:p w:rsidR="002C2841" w:rsidRPr="002C2841" w:rsidRDefault="00C54D75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bookmarkStart w:id="0" w:name="_GoBack"/>
      <w:bookmarkEnd w:id="0"/>
      <w:r w:rsidRPr="002C2841">
        <w:rPr>
          <w:rFonts w:ascii="Times New Roman" w:hAnsi="Times New Roman" w:cs="Times New Roman"/>
          <w:b/>
          <w:bCs/>
          <w:sz w:val="28"/>
          <w:szCs w:val="28"/>
        </w:rPr>
        <w:t>арушением бюджетного законодательства</w:t>
      </w:r>
      <w:r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2C2841" w:rsidRPr="002C2841">
        <w:rPr>
          <w:rFonts w:ascii="Times New Roman" w:hAnsi="Times New Roman" w:cs="Times New Roman"/>
          <w:sz w:val="28"/>
          <w:szCs w:val="28"/>
        </w:rPr>
        <w:t>признают действие (бездействие) учреждения, противоречащее положениям Бюджетного кодекса РФ, федерального закона (закона субъекта РФ, муниципального правового акта) о бюджете, иных федеральных законов (аналогичных законов на региональном уровне и муниципальных актов на местном уровне), регулирующих бюджетные правоотношения (ст. 2 БК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Согласно ст. 306.1 БК РФ бюджетным нарушением признается 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власти субъекта Российской Федерации (местной администрацией), финансовым органом, главным администратором (администратором) бюджетных средств, государственным (муниципальным) заказчиком: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3) нарушение условий договоров (соглашений) о предоставлении средств из бюджета;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4) нарушение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требований к планированию, обоснованию закупок товаров, работ, услуг для обеспечения государственных (муниципальных) нужд, а также требований к изменению, расторжению государственного (муниципального) контракта;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5) нарушение условий государственных (муниципальных) контрактов;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7) несоблюдение целей, порядка и условий предоставления кредитов, обеспеченных государственными и муниципальными гарантиями.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Исходя из практики контролирующих органов, такими нарушениями являются: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неправомерное использование бюджетных средств;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ЛБО (ст. 15.15.10 КоАП РФ);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субсидий (ст. 15.15.5 КоАП РФ);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невыполнение государственного (муниципального) задания (ст. 15.15.5-1 КоАП РФ);</w:t>
      </w:r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841">
        <w:rPr>
          <w:rFonts w:ascii="Times New Roman" w:hAnsi="Times New Roman" w:cs="Times New Roman"/>
          <w:sz w:val="28"/>
          <w:szCs w:val="28"/>
        </w:rPr>
        <w:t>нарушение требований к бюджетному (бухгалтерскому) учету, составлению и представлению бюджетной, бухгалтерской (финансовой) отчетности (ст. 15.15.6 КоАП РФ);</w:t>
      </w:r>
      <w:proofErr w:type="gramEnd"/>
    </w:p>
    <w:p w:rsidR="002C2841" w:rsidRPr="002C2841" w:rsidRDefault="002C2841" w:rsidP="002C2841">
      <w:pPr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бюджетов, а также при их исполнении (ст. 15.15.7 КоАП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1.1. Какие действия учреждения признаются неправомерным использованием бюджетных средств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К неправомерному расходованию бюджетных сре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>едует относить действия (бездействие), противоречащие требованиям бюджетного законодательства и иных НПА, регулирующих бюджетные правоотношения (Письмо Минфина России от 25.04.2017 N 02-09-08/24851).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Федеральное казначейство определяет неправомерное использование бюджетных средств как оплату денежных обязательств с нарушением (Классификатор нарушений (рисков), утвержденный Казначейством России 19.12.2017):</w:t>
      </w:r>
    </w:p>
    <w:p w:rsidR="002C2841" w:rsidRPr="002C2841" w:rsidRDefault="002C2841" w:rsidP="002C2841">
      <w:pPr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бюджетного законодательства РФ и иных НПА, регулирующих бюджетные правоотношения (за исключением нецелевого использования бюджетных средств);</w:t>
      </w:r>
    </w:p>
    <w:p w:rsidR="002C2841" w:rsidRPr="002C2841" w:rsidRDefault="002C2841" w:rsidP="002C2841">
      <w:pPr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законодательства РФ, регулирующего правоотношения, возникающие при исполнении бюджета по расходам;</w:t>
      </w:r>
    </w:p>
    <w:p w:rsidR="002C2841" w:rsidRPr="002C2841" w:rsidRDefault="002C2841" w:rsidP="002C2841">
      <w:pPr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841">
        <w:rPr>
          <w:rFonts w:ascii="Times New Roman" w:hAnsi="Times New Roman" w:cs="Times New Roman"/>
          <w:sz w:val="28"/>
          <w:szCs w:val="28"/>
        </w:rPr>
        <w:t>документов, являющихся правовым основанием принятия бюджетных обязательств (контрактов (договоров, соглашений), заключенных в целях исполнения договоров (соглашений) о предоставлении средств из соответствующего бюджета, и государственных (муниципальных) контрактов).</w:t>
      </w:r>
      <w:proofErr w:type="gramEnd"/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Неправомерным использованием бюджетных средств, исходя из практики контролирующих органов, признается: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расходование средств субсидии на </w:t>
      </w:r>
      <w:proofErr w:type="spellStart"/>
      <w:r w:rsidRPr="002C2841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2C2841">
        <w:rPr>
          <w:rFonts w:ascii="Times New Roman" w:hAnsi="Times New Roman" w:cs="Times New Roman"/>
          <w:sz w:val="28"/>
          <w:szCs w:val="28"/>
        </w:rPr>
        <w:t xml:space="preserve"> на цели, не связанные с выполнением государственного задания (Представление Счетной палаты РФ от 30.09.2016 N 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09-230/09-02);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оплата невыполненных работ (</w:t>
      </w:r>
      <w:proofErr w:type="spellStart"/>
      <w:r w:rsidRPr="002C2841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2C2841">
        <w:rPr>
          <w:rFonts w:ascii="Times New Roman" w:hAnsi="Times New Roman" w:cs="Times New Roman"/>
          <w:sz w:val="28"/>
          <w:szCs w:val="28"/>
        </w:rPr>
        <w:t xml:space="preserve"> услуг) (Представление Счетной палаты РФ от 17.12.2015 N 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09-264/09-04);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не перечисление в доход бюджета бюджетных средств, а использование на текущие расходы (Представление Счетной палаты РФ от 29.12.2014 N 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14-370/14-03);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совершение операций без оправдательных документов (Определение Верховного Суда РФ от 12.04.2017 N 302-КГ17-169 по делу N А69-19/2016);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авансовых платежей сверх установленного размера;</w:t>
      </w:r>
    </w:p>
    <w:p w:rsidR="002C2841" w:rsidRPr="002C2841" w:rsidRDefault="002C2841" w:rsidP="002C2841">
      <w:pPr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переплата зарплаты.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Какая ответственность установлена за нарушение бюджетного законодательства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За нарушение бюджетного законодательства установлены следующие виды ответственности:</w:t>
      </w:r>
    </w:p>
    <w:p w:rsidR="002C2841" w:rsidRPr="002C2841" w:rsidRDefault="002C2841" w:rsidP="002C2841">
      <w:pPr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административная (п. 3 ст. 306.1, п. 7 ст. 306.2 БК РФ);</w:t>
      </w:r>
    </w:p>
    <w:p w:rsidR="002C2841" w:rsidRPr="002C2841" w:rsidRDefault="002C2841" w:rsidP="002C2841">
      <w:pPr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уголовная (за нецелевое использование бюджетных средств) (п. 3 ст. 306.1, п. 7 ст. 306.2 БК РФ);</w:t>
      </w:r>
    </w:p>
    <w:p w:rsidR="002C2841" w:rsidRPr="002C2841" w:rsidRDefault="002C2841" w:rsidP="002C2841">
      <w:pPr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 виде бюджетных мер принуждения (п. 1 ст. 306.2 БК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Применение административной ответственности к учреждениям и (или) их должностным лицам зависит от вида совершенного нарушения и (или) типа учреждения.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Примеры нарушений, за которые установлена административная ответственность для бюджетных (автономных) учреждений и (или) их должностных лиц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841" w:rsidTr="002C2841">
        <w:tc>
          <w:tcPr>
            <w:tcW w:w="9571" w:type="dxa"/>
          </w:tcPr>
          <w:tbl>
            <w:tblPr>
              <w:tblW w:w="901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53"/>
              <w:gridCol w:w="1809"/>
              <w:gridCol w:w="38"/>
              <w:gridCol w:w="562"/>
              <w:gridCol w:w="1955"/>
              <w:gridCol w:w="308"/>
              <w:gridCol w:w="330"/>
              <w:gridCol w:w="1514"/>
              <w:gridCol w:w="241"/>
            </w:tblGrid>
            <w:tr w:rsidR="002C2841" w:rsidRPr="002C2841" w:rsidTr="002C2841">
              <w:trPr>
                <w:gridAfter w:val="1"/>
                <w:wAfter w:w="134" w:type="pct"/>
                <w:trHeight w:val="923"/>
              </w:trPr>
              <w:tc>
                <w:tcPr>
                  <w:tcW w:w="1250" w:type="pct"/>
                  <w:tcBorders>
                    <w:top w:val="single" w:sz="12" w:space="0" w:color="FFFFFF"/>
                    <w:left w:val="single" w:sz="12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нарушений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12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Привлекаемое лицо</w:t>
                  </w:r>
                </w:p>
              </w:tc>
              <w:tc>
                <w:tcPr>
                  <w:tcW w:w="312" w:type="pct"/>
                  <w:tcBorders>
                    <w:top w:val="single" w:sz="12" w:space="0" w:color="FFFFFF"/>
                    <w:left w:val="single" w:sz="4" w:space="0" w:color="auto"/>
                    <w:bottom w:val="single" w:sz="4" w:space="0" w:color="auto"/>
                    <w:right w:val="single" w:sz="12" w:space="0" w:color="FFFFFF"/>
                  </w:tcBorders>
                  <w:shd w:val="clear" w:color="auto" w:fill="auto"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5" w:type="pct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Мера ответственности</w:t>
                  </w:r>
                </w:p>
              </w:tc>
              <w:tc>
                <w:tcPr>
                  <w:tcW w:w="183" w:type="pct"/>
                  <w:tcBorders>
                    <w:top w:val="single" w:sz="12" w:space="0" w:color="FFFFFF"/>
                    <w:left w:val="single" w:sz="4" w:space="0" w:color="auto"/>
                    <w:bottom w:val="single" w:sz="4" w:space="0" w:color="auto"/>
                    <w:right w:val="single" w:sz="12" w:space="0" w:color="FFFFFF"/>
                  </w:tcBorders>
                  <w:shd w:val="clear" w:color="auto" w:fill="auto"/>
                </w:tcPr>
                <w:p w:rsidR="002C2841" w:rsidRDefault="002C28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  <w:tcBorders>
                    <w:top w:val="single" w:sz="12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Основание</w:t>
                  </w:r>
                </w:p>
              </w:tc>
            </w:tr>
            <w:tr w:rsidR="002C2841" w:rsidRPr="002C2841" w:rsidTr="002C2841">
              <w:trPr>
                <w:gridAfter w:val="1"/>
                <w:wAfter w:w="134" w:type="pct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5" w:type="pct"/>
                  <w:gridSpan w:val="2"/>
                  <w:tcBorders>
                    <w:top w:val="single" w:sz="4" w:space="0" w:color="auto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</w:tcPr>
                <w:p w:rsid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2841" w:rsidRPr="002C2841" w:rsidTr="002C2841">
              <w:tc>
                <w:tcPr>
                  <w:tcW w:w="1250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Нарушение учреждением, которому предоставлены бюджетные инвестиции, условий их предоставления, за исключением нецелевого использования средств</w:t>
                  </w:r>
                </w:p>
              </w:tc>
              <w:tc>
                <w:tcPr>
                  <w:tcW w:w="1004" w:type="pc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Должностное лицо</w:t>
                  </w: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 от 10 тыс. до 30 тыс. руб.</w:t>
                  </w:r>
                </w:p>
              </w:tc>
              <w:tc>
                <w:tcPr>
                  <w:tcW w:w="171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 w:val="restar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 2 ст. 15.15.4 КоАП РФ</w:t>
                  </w:r>
                </w:p>
              </w:tc>
            </w:tr>
            <w:tr w:rsidR="002C2841" w:rsidRPr="002C2841" w:rsidTr="002C2841">
              <w:tc>
                <w:tcPr>
                  <w:tcW w:w="1250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Учреждение</w:t>
                  </w: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 от 2 до 12% суммы полученной субсидии</w:t>
                  </w:r>
                </w:p>
              </w:tc>
              <w:tc>
                <w:tcPr>
                  <w:tcW w:w="171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F5F5F5"/>
                  <w:vAlign w:val="center"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2841" w:rsidRPr="002C2841" w:rsidTr="002C2841">
              <w:tc>
                <w:tcPr>
                  <w:tcW w:w="1250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Нарушение условий предоставления субсидий</w:t>
                  </w:r>
                </w:p>
              </w:tc>
              <w:tc>
                <w:tcPr>
                  <w:tcW w:w="1004" w:type="pc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Должностное лицо</w:t>
                  </w: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 от 10 тыс. до 30 тыс. руб.</w:t>
                  </w:r>
                </w:p>
              </w:tc>
              <w:tc>
                <w:tcPr>
                  <w:tcW w:w="171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 w:val="restar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 2 ст. 15.15.5 КоАП РФ</w:t>
                  </w:r>
                </w:p>
              </w:tc>
            </w:tr>
            <w:tr w:rsidR="002C2841" w:rsidRPr="002C2841" w:rsidTr="002C2841">
              <w:tc>
                <w:tcPr>
                  <w:tcW w:w="1250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Учреждение</w:t>
                  </w: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 от 2 до 12% суммы полученной субсидии</w:t>
                  </w:r>
                </w:p>
              </w:tc>
              <w:tc>
                <w:tcPr>
                  <w:tcW w:w="171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F5F5F5"/>
                  <w:vAlign w:val="center"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2841" w:rsidRPr="002C2841" w:rsidTr="002C2841">
              <w:tc>
                <w:tcPr>
                  <w:tcW w:w="1250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Невыполнение </w:t>
                  </w: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государственного (муниципального) задания</w:t>
                  </w:r>
                </w:p>
              </w:tc>
              <w:tc>
                <w:tcPr>
                  <w:tcW w:w="1004" w:type="pct"/>
                  <w:vMerge w:val="restar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Должностное </w:t>
                  </w: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лицо</w:t>
                  </w: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 первый раз: </w:t>
                  </w: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предупреждение или штраф от 100 до 1 000 руб.</w:t>
                  </w:r>
                </w:p>
              </w:tc>
              <w:tc>
                <w:tcPr>
                  <w:tcW w:w="171" w:type="pct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 w:val="restart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Статья 15.15.5-1 КоАП </w:t>
                  </w: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РФ</w:t>
                  </w:r>
                </w:p>
              </w:tc>
            </w:tr>
            <w:tr w:rsidR="002C2841" w:rsidRPr="002C2841" w:rsidTr="002C2841">
              <w:tc>
                <w:tcPr>
                  <w:tcW w:w="1250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pct"/>
                  <w:vMerge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pct"/>
                  <w:gridSpan w:val="3"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2841" w:rsidRPr="002C2841" w:rsidRDefault="002C2841" w:rsidP="002C28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8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повторное правонарушение: штраф от 10 тыс. до 30 тыс. руб.</w:t>
                  </w:r>
                </w:p>
              </w:tc>
              <w:tc>
                <w:tcPr>
                  <w:tcW w:w="171" w:type="pct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auto"/>
                  </w:tcBorders>
                  <w:shd w:val="clear" w:color="auto" w:fill="F5F5F5"/>
                  <w:vAlign w:val="center"/>
                  <w:hideMark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pct"/>
                  <w:gridSpan w:val="3"/>
                  <w:vMerge/>
                  <w:tcBorders>
                    <w:top w:val="single" w:sz="12" w:space="0" w:color="FFFFFF"/>
                    <w:left w:val="single" w:sz="4" w:space="0" w:color="auto"/>
                    <w:bottom w:val="single" w:sz="12" w:space="0" w:color="FFFFFF"/>
                    <w:right w:val="single" w:sz="12" w:space="0" w:color="FFFFFF"/>
                  </w:tcBorders>
                  <w:shd w:val="clear" w:color="auto" w:fill="F5F5F5"/>
                  <w:vAlign w:val="center"/>
                </w:tcPr>
                <w:p w:rsidR="002C2841" w:rsidRPr="002C2841" w:rsidRDefault="002C2841" w:rsidP="00D10BA8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2841" w:rsidRDefault="002C2841"/>
        </w:tc>
      </w:tr>
    </w:tbl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Срок давности привлечения</w:t>
      </w:r>
      <w:r w:rsidRPr="002C2841">
        <w:rPr>
          <w:rFonts w:ascii="Times New Roman" w:hAnsi="Times New Roman" w:cs="Times New Roman"/>
          <w:sz w:val="28"/>
          <w:szCs w:val="28"/>
        </w:rPr>
        <w:t> к административной ответственности зависит от того, какое лицо (юридическое или должностное) привлекается:</w:t>
      </w:r>
    </w:p>
    <w:p w:rsidR="002C2841" w:rsidRPr="002C2841" w:rsidRDefault="002C2841" w:rsidP="002C2841">
      <w:pPr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для юридического лица он составляет два года со дня совершения административного правонарушения (ч. 1 ст. 4.5 КоАП РФ);</w:t>
      </w:r>
    </w:p>
    <w:p w:rsidR="002C2841" w:rsidRPr="002C2841" w:rsidRDefault="002C2841" w:rsidP="002C2841">
      <w:pPr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для должностного лица определяется с учетом того, предусмотрено ли статьей административное наказание в виде дисквалификации: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- если да, то срок исковой давности - не позднее одного года со дня совершения административного правонарушения (ч. 3 ст. 4.5 КоАП РФ, Письмо Казначейства России от 27.10.2017 N 07-04-05/09-826);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- если не предусмотрено, то срок исковой давности составляет два года со дня совершения административного правонарушения (ч. 1 ст. 4.5 КоАП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2.1. Какая ответственность предусмотрена за нецелевое или неэффективное расходование учреждением бюджетных средств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За нецелевое использование бюджетных средств установлена административная, уголовная ответственность, а также применяются бюджетные меры принуждения.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Статьей 15.14 КоАП РФ предусмотрена ответственность за нецелевое использование бюджетных средств, что</w:t>
      </w:r>
      <w:r w:rsidRPr="002C28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84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Статьей 285.1 УК РФ установлена уголовная ответственность за нарушения деятельности публичного аппарата власти и управления в сфере бюджетных отношений за нецелевое расходование бюджетных средств. 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Предметом преступления являются бюджетные средства (бюджетные ассигнования) - средства бюджетов различных уровней, за исключением средств государственных внебюджетных фондов.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Объективная сторона</w:t>
      </w:r>
      <w:r w:rsidRPr="002C2841">
        <w:rPr>
          <w:rFonts w:ascii="Times New Roman" w:hAnsi="Times New Roman" w:cs="Times New Roman"/>
          <w:sz w:val="28"/>
          <w:szCs w:val="28"/>
        </w:rPr>
        <w:t> рассматриваемого состава преступления выражается в действии - расходовании (трате) бюджетных средств на цели, не соответствующие условиям получения этих бюджетных средств, совершенном в крупном размере. Указанные условия при этом определяются утвержденными: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Для наступления уголовной ответственности необходимым условием является крупный размер нецелевого расходования бюджетных средств.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2841">
        <w:rPr>
          <w:rFonts w:ascii="Times New Roman" w:hAnsi="Times New Roman" w:cs="Times New Roman"/>
          <w:sz w:val="28"/>
          <w:szCs w:val="28"/>
        </w:rPr>
        <w:t xml:space="preserve">рупным размером признается сумма бюджетных средств, превышающая 1 </w:t>
      </w:r>
      <w:proofErr w:type="gramStart"/>
      <w:r w:rsidRPr="002C284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500 тыс. руб.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Состав преступления </w:t>
      </w:r>
      <w:r w:rsidRPr="002C2841">
        <w:rPr>
          <w:rFonts w:ascii="Times New Roman" w:hAnsi="Times New Roman" w:cs="Times New Roman"/>
          <w:b/>
          <w:bCs/>
          <w:sz w:val="28"/>
          <w:szCs w:val="28"/>
        </w:rPr>
        <w:t>формальный</w:t>
      </w:r>
      <w:r w:rsidRPr="002C2841">
        <w:rPr>
          <w:rFonts w:ascii="Times New Roman" w:hAnsi="Times New Roman" w:cs="Times New Roman"/>
          <w:sz w:val="28"/>
          <w:szCs w:val="28"/>
        </w:rPr>
        <w:t>. Преступление </w:t>
      </w:r>
      <w:r w:rsidRPr="002C2841">
        <w:rPr>
          <w:rFonts w:ascii="Times New Roman" w:hAnsi="Times New Roman" w:cs="Times New Roman"/>
          <w:b/>
          <w:bCs/>
          <w:sz w:val="28"/>
          <w:szCs w:val="28"/>
        </w:rPr>
        <w:t>окончено</w:t>
      </w:r>
      <w:r w:rsidRPr="002C2841">
        <w:rPr>
          <w:rFonts w:ascii="Times New Roman" w:hAnsi="Times New Roman" w:cs="Times New Roman"/>
          <w:sz w:val="28"/>
          <w:szCs w:val="28"/>
        </w:rPr>
        <w:t> с момента направления бюджетных средств на цели, не предусмотренные соответствующим документом, т.е. с момента списания их с лицевого счета бюджетного учреждения.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Субъективная сторона</w:t>
      </w:r>
      <w:r w:rsidRPr="002C2841">
        <w:rPr>
          <w:rFonts w:ascii="Times New Roman" w:hAnsi="Times New Roman" w:cs="Times New Roman"/>
          <w:sz w:val="28"/>
          <w:szCs w:val="28"/>
        </w:rPr>
        <w:t> преступления характеризуется </w:t>
      </w:r>
      <w:r w:rsidRPr="002C2841">
        <w:rPr>
          <w:rFonts w:ascii="Times New Roman" w:hAnsi="Times New Roman" w:cs="Times New Roman"/>
          <w:b/>
          <w:bCs/>
          <w:sz w:val="28"/>
          <w:szCs w:val="28"/>
        </w:rPr>
        <w:t>прямым умыслом</w:t>
      </w:r>
      <w:r w:rsidRPr="002C2841">
        <w:rPr>
          <w:rFonts w:ascii="Times New Roman" w:hAnsi="Times New Roman" w:cs="Times New Roman"/>
          <w:sz w:val="28"/>
          <w:szCs w:val="28"/>
        </w:rPr>
        <w:t>. 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Pr="002C2841">
        <w:rPr>
          <w:rFonts w:ascii="Times New Roman" w:hAnsi="Times New Roman" w:cs="Times New Roman"/>
          <w:sz w:val="28"/>
          <w:szCs w:val="28"/>
        </w:rPr>
        <w:t> преступления - </w:t>
      </w:r>
      <w:r w:rsidRPr="002C2841">
        <w:rPr>
          <w:rFonts w:ascii="Times New Roman" w:hAnsi="Times New Roman" w:cs="Times New Roman"/>
          <w:b/>
          <w:bCs/>
          <w:sz w:val="28"/>
          <w:szCs w:val="28"/>
        </w:rPr>
        <w:t>специальный</w:t>
      </w:r>
      <w:r w:rsidRPr="002C2841">
        <w:rPr>
          <w:rFonts w:ascii="Times New Roman" w:hAnsi="Times New Roman" w:cs="Times New Roman"/>
          <w:sz w:val="28"/>
          <w:szCs w:val="28"/>
        </w:rPr>
        <w:t> - должностное лицо получателя бюджетных средств, обладающее правом подписи соответствующих расходных документов.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841">
        <w:rPr>
          <w:rFonts w:ascii="Times New Roman" w:hAnsi="Times New Roman" w:cs="Times New Roman"/>
          <w:sz w:val="28"/>
          <w:szCs w:val="28"/>
        </w:rPr>
        <w:t>Такие деяния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арестом на срок</w:t>
      </w:r>
      <w:proofErr w:type="gramEnd"/>
      <w:r w:rsidRPr="002C2841">
        <w:rPr>
          <w:rFonts w:ascii="Times New Roman" w:hAnsi="Times New Roman" w:cs="Times New Roman"/>
          <w:sz w:val="28"/>
          <w:szCs w:val="28"/>
        </w:rPr>
        <w:t xml:space="preserve"> до шести месяцев,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Ответственность за неэффективное использование бюджетных средств законодательно не установлена. Средства, признанные </w:t>
      </w:r>
      <w:r w:rsidRPr="002C2841">
        <w:rPr>
          <w:rFonts w:ascii="Times New Roman" w:hAnsi="Times New Roman" w:cs="Times New Roman"/>
          <w:sz w:val="28"/>
          <w:szCs w:val="28"/>
        </w:rPr>
        <w:lastRenderedPageBreak/>
        <w:t>проверяющими как неэффективно использованные, могут потребовать возместить в бюджет на основании предписания контролирующего органа. Проверяющие также вправе обязать учреждение устранить нарушение и предпринять меры по недопущению неэффективного расходования средств (</w:t>
      </w:r>
      <w:hyperlink r:id="rId6" w:history="1">
        <w:r w:rsidRPr="002C2841">
          <w:rPr>
            <w:rStyle w:val="a3"/>
            <w:rFonts w:ascii="Times New Roman" w:hAnsi="Times New Roman" w:cs="Times New Roman"/>
            <w:sz w:val="28"/>
            <w:szCs w:val="28"/>
          </w:rPr>
          <w:t>п. 3 ст. 270.2</w:t>
        </w:r>
      </w:hyperlink>
      <w:r w:rsidRPr="002C2841">
        <w:rPr>
          <w:rFonts w:ascii="Times New Roman" w:hAnsi="Times New Roman" w:cs="Times New Roman"/>
          <w:sz w:val="28"/>
          <w:szCs w:val="28"/>
        </w:rPr>
        <w:t> БК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b/>
          <w:bCs/>
          <w:sz w:val="28"/>
          <w:szCs w:val="28"/>
        </w:rPr>
        <w:t>3. Какие бюджетные меры принуждения применяются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Бюджетные меры принуждения - это санкции, которые применяются за бюджетные нарушения.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Бюджетным кодексом РФ предусмотрены следующие бюджетные меры принуждения (п. 2 ст. 306.2 БК РФ):</w:t>
      </w:r>
    </w:p>
    <w:p w:rsidR="002C2841" w:rsidRPr="002C2841" w:rsidRDefault="002C2841" w:rsidP="002C2841">
      <w:pPr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взыскание средств, предоставленных из одного бюджета другому;</w:t>
      </w:r>
    </w:p>
    <w:p w:rsidR="002C2841" w:rsidRPr="002C2841" w:rsidRDefault="002C2841" w:rsidP="002C2841">
      <w:pPr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взыскание платы за пользование средствами, предоставленными из одного бюджета другому;</w:t>
      </w:r>
    </w:p>
    <w:p w:rsidR="002C2841" w:rsidRPr="002C2841" w:rsidRDefault="002C2841" w:rsidP="002C2841">
      <w:pPr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взыскание пеней за несвоевременный возврат средств бюджета;</w:t>
      </w:r>
    </w:p>
    <w:p w:rsidR="002C2841" w:rsidRPr="002C2841" w:rsidRDefault="002C2841" w:rsidP="002C2841">
      <w:pPr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МБТ (за исключением субвенций).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Бюджетные меры принуждения могут применить за такие действия, как (гл. 30 БК РФ):</w:t>
      </w:r>
    </w:p>
    <w:p w:rsidR="002C2841" w:rsidRPr="002C2841" w:rsidRDefault="002C2841" w:rsidP="002C2841">
      <w:pPr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(ст. 306.4 БК РФ);</w:t>
      </w:r>
    </w:p>
    <w:p w:rsidR="002C2841" w:rsidRPr="002C2841" w:rsidRDefault="002C2841" w:rsidP="002C2841">
      <w:pPr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невозврат либо несвоевременный возврат бюджетного кредита (ст. 306.5 БК РФ);</w:t>
      </w:r>
    </w:p>
    <w:p w:rsidR="002C2841" w:rsidRPr="002C2841" w:rsidRDefault="002C2841" w:rsidP="002C2841">
      <w:pPr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841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2C2841">
        <w:rPr>
          <w:rFonts w:ascii="Times New Roman" w:hAnsi="Times New Roman" w:cs="Times New Roman"/>
          <w:sz w:val="28"/>
          <w:szCs w:val="28"/>
        </w:rPr>
        <w:t xml:space="preserve"> либо несвоевременное перечисление платы за пользование бюджетным кредитом (ст. 306.6 БК РФ);</w:t>
      </w:r>
    </w:p>
    <w:p w:rsidR="002C2841" w:rsidRPr="002C2841" w:rsidRDefault="002C2841" w:rsidP="002C2841">
      <w:pPr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нарушение условий предоставления бюджетного кредита (ст. 306.7 БК РФ).</w:t>
      </w:r>
    </w:p>
    <w:p w:rsidR="002C2841" w:rsidRPr="002C2841" w:rsidRDefault="002C2841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Наряду с бюджетными мерами принуждения могут применяться и иные меры ответственности (п. 7 ст. 306.2 БК РФ).</w:t>
      </w:r>
    </w:p>
    <w:p w:rsidR="00C866E8" w:rsidRPr="002C2841" w:rsidRDefault="00C866E8" w:rsidP="002C28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66E8" w:rsidRPr="002C2841" w:rsidSect="002C28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BB"/>
    <w:multiLevelType w:val="multilevel"/>
    <w:tmpl w:val="812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0A5A"/>
    <w:multiLevelType w:val="multilevel"/>
    <w:tmpl w:val="9B7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35C78"/>
    <w:multiLevelType w:val="multilevel"/>
    <w:tmpl w:val="6D6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81CC6"/>
    <w:multiLevelType w:val="multilevel"/>
    <w:tmpl w:val="226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93DCD"/>
    <w:multiLevelType w:val="multilevel"/>
    <w:tmpl w:val="4D72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230A3"/>
    <w:multiLevelType w:val="multilevel"/>
    <w:tmpl w:val="0EF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11DE6"/>
    <w:multiLevelType w:val="multilevel"/>
    <w:tmpl w:val="73D0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92AE1"/>
    <w:multiLevelType w:val="multilevel"/>
    <w:tmpl w:val="6D9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D"/>
    <w:rsid w:val="002C2841"/>
    <w:rsid w:val="00AD6924"/>
    <w:rsid w:val="00B00CFD"/>
    <w:rsid w:val="00C54D75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8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8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3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4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9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3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5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2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0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avd.ru/procuracy-dep/p-news/consultantplus%3A/offline/ref=F0DD956F009C2887B246A929FAD88469467620F45AC8FBDF6F7FD88B65A75CD80A30101CCB61A225E16C829F6C7F5B971F4A5CD76BD3n8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</dc:creator>
  <cp:lastModifiedBy>Кожевникова Юлия</cp:lastModifiedBy>
  <cp:revision>2</cp:revision>
  <dcterms:created xsi:type="dcterms:W3CDTF">2024-01-18T03:24:00Z</dcterms:created>
  <dcterms:modified xsi:type="dcterms:W3CDTF">2024-01-18T03:24:00Z</dcterms:modified>
</cp:coreProperties>
</file>